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600"/>
        <w:jc w:val="center"/>
      </w:pPr>
      <w:r>
        <w:rPr>
          <w:rFonts w:ascii="Calibri" w:hAnsi="Calibri"/>
          <w:b/>
          <w:color w:val="1A73E8"/>
          <w:sz w:val="44"/>
        </w:rPr>
        <w:t>GOOGLE WORKSPACE</w:t>
      </w:r>
    </w:p>
    <w:p>
      <w:pPr>
        <w:jc w:val="center"/>
      </w:pPr>
      <w:r>
        <w:rPr>
          <w:rFonts w:ascii="Calibri" w:hAnsi="Calibri"/>
          <w:b w:val="0"/>
          <w:color w:val="3C3C3C"/>
          <w:sz w:val="32"/>
        </w:rPr>
        <w:t>Strategic Learning &amp; Development Program</w:t>
      </w:r>
    </w:p>
    <w:p>
      <w:pPr>
        <w:spacing w:before="200"/>
        <w:jc w:val="center"/>
      </w:pPr>
      <w:r>
        <w:rPr>
          <w:rFonts w:ascii="Calibri" w:hAnsi="Calibri"/>
          <w:b/>
          <w:color w:val="1E1E1E"/>
          <w:sz w:val="26"/>
        </w:rPr>
        <w:t>Prudential Guarantee and Assurance, Inc.</w:t>
      </w:r>
    </w:p>
    <w:p>
      <w:pPr>
        <w:jc w:val="center"/>
      </w:pPr>
      <w:r>
        <w:rPr>
          <w:rFonts w:ascii="Calibri" w:hAnsi="Calibri"/>
          <w:b w:val="0"/>
          <w:color w:val="787878"/>
          <w:sz w:val="20"/>
        </w:rPr>
        <w:t>Prepared by Symph Inc.  ·  March 5, 2026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1A73E8"/>
          </w:tcPr>
          <w:p>
            <w:pPr>
              <w:spacing w:before="40" w:after="40"/>
            </w:pPr>
          </w:p>
        </w:tc>
      </w:tr>
    </w:tbl>
    <w:p/>
    <w:p>
      <w:pPr>
        <w:spacing w:before="280" w:after="80"/>
      </w:pPr>
      <w:r>
        <w:rPr>
          <w:rFonts w:ascii="Calibri" w:hAnsi="Calibri"/>
          <w:b/>
          <w:color w:val="1A73E8"/>
          <w:sz w:val="32"/>
        </w:rPr>
        <w:t>01  Executive Summary</w:t>
      </w:r>
    </w:p>
    <w:p>
      <w:pPr>
        <w:spacing w:before="40" w:after="80"/>
      </w:pPr>
      <w:r>
        <w:rPr>
          <w:rFonts w:ascii="Calibri" w:hAnsi="Calibri"/>
          <w:b w:val="0"/>
          <w:i w:val="0"/>
          <w:sz w:val="21"/>
        </w:rPr>
        <w:t>Prudential Guarantee and Assurance, Inc. (PGA) has a strong Google Workspace foundation — 718 active users with a 95% adoption rate. However, usage of key productivity tools such as Docs, Calendar, and Slides remains below 50%, and Gemini AI utilization sits at approximately 2%. This represents a significant unrealized return on an existing subscription investment.</w:t>
      </w:r>
    </w:p>
    <w:p>
      <w:pPr>
        <w:spacing w:before="40" w:after="80"/>
      </w:pPr>
      <w:r>
        <w:rPr>
          <w:rFonts w:ascii="Calibri" w:hAnsi="Calibri"/>
          <w:b w:val="0"/>
          <w:i w:val="0"/>
          <w:sz w:val="21"/>
        </w:rPr>
        <w:t>Symph's targeted Google Workspace Learning &amp; Development Program delivers a structured 2-day training: Day 1 covers GWS Refresher + Gemini AI, and Day 2 is a hands-on Apps Script Bootcamp — followed by post-training reinforcement to ensure lasting behavioral change and measurable adoption.</w:t>
      </w:r>
    </w:p>
    <w:p>
      <w:pPr>
        <w:spacing w:before="40" w:after="80"/>
      </w:pPr>
      <w:r>
        <w:rPr>
          <w:rFonts w:ascii="Calibri" w:hAnsi="Calibri"/>
          <w:b w:val="0"/>
          <w:i w:val="0"/>
          <w:sz w:val="21"/>
        </w:rPr>
        <w:t>Four delivery options are presented below, each covering the same curriculum. The difference lies in where and how each day is delivered, and how regional offices participate.</w:t>
      </w:r>
    </w:p>
    <w:p>
      <w:pPr>
        <w:spacing w:before="280" w:after="80"/>
      </w:pPr>
      <w:r>
        <w:rPr>
          <w:rFonts w:ascii="Calibri" w:hAnsi="Calibri"/>
          <w:b/>
          <w:color w:val="1A73E8"/>
          <w:sz w:val="32"/>
        </w:rPr>
        <w:t>02  Program Benefits</w:t>
      </w:r>
    </w:p>
    <w:p>
      <w:pPr>
        <w:spacing w:before="280" w:after="80"/>
      </w:pPr>
      <w:r>
        <w:rPr>
          <w:rFonts w:ascii="Calibri" w:hAnsi="Calibri"/>
          <w:b/>
          <w:color w:val="34A853"/>
          <w:sz w:val="26"/>
        </w:rPr>
        <w:t>Immediate Impact (Within 30 Days)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Increased adoption of underutilized apps (Docs, Calendar, Slides) across all departments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Gemini AI integrated into daily workflows — moving from ~2% to active usage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Automated workflows via Apps Script at head office, reducing manual processes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Reduced IT support requests through self-sufficient power users</w:t>
      </w:r>
    </w:p>
    <w:p>
      <w:pPr>
        <w:spacing w:before="280" w:after="80"/>
      </w:pPr>
      <w:r>
        <w:rPr>
          <w:rFonts w:ascii="Calibri" w:hAnsi="Calibri"/>
          <w:b/>
          <w:color w:val="34A853"/>
          <w:sz w:val="26"/>
        </w:rPr>
        <w:t>Long-Term Value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Sustainable adoption culture through trained champions across all regions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Measurable ROI on the existing Google Workspace subscription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Scalable automation library built during the Apps Script Bootcamp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Internal support network that reduces dependency on external training</w:t>
      </w:r>
    </w:p>
    <w:p>
      <w:pPr>
        <w:spacing w:before="280" w:after="80"/>
      </w:pPr>
      <w:r>
        <w:rPr>
          <w:rFonts w:ascii="Calibri" w:hAnsi="Calibri"/>
          <w:b/>
          <w:color w:val="1A73E8"/>
          <w:sz w:val="32"/>
        </w:rPr>
        <w:t>03  Scope of Services</w:t>
      </w:r>
    </w:p>
    <w:p>
      <w:pPr>
        <w:spacing w:before="280" w:after="80"/>
      </w:pPr>
      <w:r>
        <w:rPr>
          <w:rFonts w:ascii="Calibri" w:hAnsi="Calibri"/>
          <w:b/>
          <w:color w:val="1A73E8"/>
          <w:sz w:val="26"/>
        </w:rPr>
        <w:t>Participant Capacity</w:t>
      </w:r>
    </w:p>
    <w:p>
      <w:pPr>
        <w:spacing w:before="40" w:after="80"/>
      </w:pPr>
      <w:r>
        <w:rPr>
          <w:rFonts w:ascii="Calibri" w:hAnsi="Calibri"/>
          <w:b w:val="0"/>
          <w:i w:val="0"/>
          <w:sz w:val="21"/>
        </w:rPr>
        <w:t>Day 1 (GWS Refresher + Gemini AI) can accommodate all 718 users when conducted online. Day 2 (Apps Script Bootcamp) supports up to 20 participants per on-site session. Additional participants beyond on-site capacity will require separate sessions.</w:t>
      </w:r>
    </w:p>
    <w:p>
      <w:pPr>
        <w:spacing w:before="280" w:after="80"/>
      </w:pPr>
      <w:r>
        <w:rPr>
          <w:rFonts w:ascii="Calibri" w:hAnsi="Calibri"/>
          <w:b/>
          <w:color w:val="1A73E8"/>
          <w:sz w:val="26"/>
        </w:rPr>
        <w:t>Phase 1: Assessment &amp; Use Case Coordination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Use case coordination with the PGA team — identifying priority automations and department-specific scenarios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Pre-training workflow audit and survey analysis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Department-specific pain point mapping for Day 1 and Day 2 content</w:t>
      </w:r>
    </w:p>
    <w:p>
      <w:pPr>
        <w:spacing w:before="40" w:after="80"/>
      </w:pPr>
      <w:r>
        <w:rPr>
          <w:rFonts w:ascii="Calibri" w:hAnsi="Calibri"/>
          <w:b w:val="0"/>
          <w:i/>
          <w:sz w:val="21"/>
        </w:rPr>
        <w:t>This phase ensures training addresses PGA's real workflow challenges — not generic features — leading to immediate value recognition.</w:t>
      </w:r>
    </w:p>
    <w:p>
      <w:pPr>
        <w:spacing w:before="280" w:after="80"/>
      </w:pPr>
      <w:r>
        <w:rPr>
          <w:rFonts w:ascii="Calibri" w:hAnsi="Calibri"/>
          <w:b/>
          <w:color w:val="1A73E8"/>
          <w:sz w:val="26"/>
        </w:rPr>
        <w:t>Phase 2: Curriculum Development &amp; Preparation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Day 1 custom curriculum: GWS Refresher + Gemini AI module design using PGA-specific scenarios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Day 2 custom curriculum: Apps Script Bootcamp with sandbox environments and live automation use cases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Training materials, breakout room activities, and participant handouts</w:t>
      </w:r>
    </w:p>
    <w:p>
      <w:pPr>
        <w:spacing w:before="40" w:after="80"/>
      </w:pPr>
      <w:r>
        <w:rPr>
          <w:rFonts w:ascii="Calibri" w:hAnsi="Calibri"/>
          <w:b w:val="0"/>
          <w:i/>
          <w:sz w:val="21"/>
        </w:rPr>
        <w:t>Custom curriculum built around PGA workflows ensures participants leave with immediately applicable skills.</w:t>
      </w:r>
    </w:p>
    <w:p>
      <w:pPr>
        <w:spacing w:before="280" w:after="80"/>
      </w:pPr>
      <w:r>
        <w:rPr>
          <w:rFonts w:ascii="Calibri" w:hAnsi="Calibri"/>
          <w:b/>
          <w:color w:val="1A73E8"/>
          <w:sz w:val="26"/>
        </w:rPr>
        <w:t>Phase 3: Training Delivery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Day 1: GWS Refresher &amp; Gemini AI — Gmail, Meet, Calendar, Docs, Slides, Drive, and Gemini AI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Day 2: Apps Script Bootcamp — hands-on, no coding experience required; participants leave with live automations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Use cases coordinated with PGA's team in advance for immediate applicability</w:t>
      </w:r>
    </w:p>
    <w:p>
      <w:pPr>
        <w:spacing w:before="40" w:after="80"/>
      </w:pPr>
      <w:r>
        <w:rPr>
          <w:rFonts w:ascii="Calibri" w:hAnsi="Calibri"/>
          <w:b w:val="0"/>
          <w:i/>
          <w:sz w:val="21"/>
        </w:rPr>
        <w:t>The experiential approach using real PGA scenarios ensures immediate workflow integration.</w:t>
      </w:r>
    </w:p>
    <w:p>
      <w:pPr>
        <w:spacing w:before="280" w:after="80"/>
      </w:pPr>
      <w:r>
        <w:rPr>
          <w:rFonts w:ascii="Calibri" w:hAnsi="Calibri"/>
          <w:b/>
          <w:color w:val="1A73E8"/>
          <w:sz w:val="26"/>
        </w:rPr>
        <w:t>Phase 4: Reinforcement &amp; Support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Weekly online check-ins via Google Meet (4 weeks post-training; 6 weeks for Option 3)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Adoption assessment and recommendations report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Troubleshooting and continuous improvement guidance</w:t>
      </w:r>
    </w:p>
    <w:p>
      <w:pPr>
        <w:spacing w:before="40" w:after="80"/>
      </w:pPr>
      <w:r>
        <w:rPr>
          <w:rFonts w:ascii="Calibri" w:hAnsi="Calibri"/>
          <w:b w:val="0"/>
          <w:i/>
          <w:sz w:val="21"/>
        </w:rPr>
        <w:t>This phase transforms initial training into lasting behavior change, preventing post-training decline.</w:t>
      </w:r>
    </w:p>
    <w:p>
      <w:pPr>
        <w:spacing w:before="280" w:after="80"/>
      </w:pPr>
      <w:r>
        <w:rPr>
          <w:rFonts w:ascii="Calibri" w:hAnsi="Calibri"/>
          <w:b/>
          <w:color w:val="1A73E8"/>
          <w:sz w:val="32"/>
        </w:rPr>
        <w:t>04  Responsibilities</w:t>
      </w:r>
    </w:p>
    <w:p>
      <w:pPr>
        <w:spacing w:before="280" w:after="80"/>
      </w:pPr>
      <w:r>
        <w:rPr>
          <w:rFonts w:ascii="Calibri" w:hAnsi="Calibri"/>
          <w:b/>
          <w:color w:val="1A73E8"/>
          <w:sz w:val="26"/>
        </w:rPr>
        <w:t>Symph's Responsibilities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Conduct use case coordination sessions with the PGA team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Develop customized training modules using PGA workflows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Deliver 2 days of experiential training (format per selected option)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Provide Google Workspace-certified expert facilitators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Weekly online check-ins for 4–6 weeks post-training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Deliver adoption assessment and recommendations report</w:t>
      </w:r>
    </w:p>
    <w:p>
      <w:pPr>
        <w:spacing w:before="280" w:after="80"/>
      </w:pPr>
      <w:r>
        <w:rPr>
          <w:rFonts w:ascii="Calibri" w:hAnsi="Calibri"/>
          <w:b/>
          <w:color w:val="1A73E8"/>
          <w:sz w:val="26"/>
        </w:rPr>
        <w:t>PGA's Responsibilities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Identify priority departments and participants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Provide access for use case coordination sessions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Designate champions for Day 2 participation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Provide venue (for on-site days) and laptop/equipment (1 device per participant)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Manage catering, participant travel, and scheduling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Ensure management endorsement and employee time allocation</w:t>
      </w:r>
    </w:p>
    <w:p>
      <w:pPr>
        <w:spacing w:before="280" w:after="80"/>
      </w:pPr>
      <w:r>
        <w:rPr>
          <w:rFonts w:ascii="Calibri" w:hAnsi="Calibri"/>
          <w:b/>
          <w:color w:val="1A73E8"/>
          <w:sz w:val="32"/>
        </w:rPr>
        <w:t>05  Delivery Options</w:t>
      </w:r>
    </w:p>
    <w:p>
      <w:pPr>
        <w:spacing w:before="40" w:after="80"/>
      </w:pPr>
      <w:r>
        <w:rPr>
          <w:rFonts w:ascii="Calibri" w:hAnsi="Calibri"/>
          <w:b w:val="0"/>
          <w:i w:val="0"/>
          <w:sz w:val="21"/>
        </w:rPr>
        <w:t>All four options cover the same curriculum. Your choice determines how and where each day is delivered, and how regional offices participate. Option 1 is recommended for its balance of reach, quality, and cost.</w:t>
      </w:r>
    </w:p>
    <w:p>
      <w:pPr>
        <w:spacing w:before="280" w:after="80"/>
      </w:pPr>
      <w:r>
        <w:rPr>
          <w:rFonts w:ascii="Calibri" w:hAnsi="Calibri"/>
          <w:b/>
          <w:color w:val="34A853"/>
          <w:sz w:val="26"/>
        </w:rPr>
        <w:t>Option 1</w:t>
      </w:r>
    </w:p>
    <w:p>
      <w:pPr>
        <w:spacing w:before="0" w:after="60"/>
      </w:pPr>
      <w:r>
        <w:rPr>
          <w:rFonts w:ascii="Calibri" w:hAnsi="Calibri"/>
          <w:b/>
          <w:color w:val="1E1E1E"/>
          <w:sz w:val="22"/>
        </w:rPr>
        <w:t>Option 1 — Hybrid: Day 1 Online + Day 2 On-Site at HO</w:t>
      </w:r>
      <w:r>
        <w:rPr>
          <w:rFonts w:ascii="Calibri" w:hAnsi="Calibri"/>
          <w:b/>
          <w:color w:val="34A853"/>
          <w:sz w:val="20"/>
        </w:rPr>
        <w:t xml:space="preserve">  ★ RECOMMENDED</w:t>
      </w:r>
    </w:p>
    <w:p>
      <w:pPr>
        <w:spacing w:before="40" w:after="80"/>
      </w:pPr>
      <w:r>
        <w:rPr>
          <w:rFonts w:ascii="Calibri" w:hAnsi="Calibri"/>
          <w:b w:val="0"/>
          <w:i w:val="0"/>
          <w:sz w:val="21"/>
        </w:rPr>
        <w:t>Day 1 is conducted online for all 718 users across all regions. Day 2 is an on-site Apps Script Bootcamp at Head Office for designated power users.</w:t>
      </w:r>
    </w:p>
    <w:p>
      <w:pPr>
        <w:spacing w:before="40" w:after="80"/>
      </w:pPr>
      <w:r>
        <w:rPr>
          <w:rFonts w:ascii="Calibri" w:hAnsi="Calibri"/>
          <w:b/>
          <w:i w:val="0"/>
          <w:sz w:val="21"/>
        </w:rPr>
        <w:t>Key Advantages: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Maximum reach on Day 1 — all 718 users participate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Face-to-face Apps Script quality for HO power users on Day 2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No regional travel required from PGA's side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Lowest overall cost with broadest reach</w:t>
      </w:r>
    </w:p>
    <w:p>
      <w:pPr>
        <w:spacing w:before="40" w:after="80"/>
      </w:pPr>
      <w:r>
        <w:rPr>
          <w:rFonts w:ascii="Calibri" w:hAnsi="Calibri"/>
          <w:b/>
          <w:i w:val="0"/>
          <w:sz w:val="21"/>
        </w:rPr>
        <w:t>Considerations: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Day 2 limited to HO power users (not regional staff)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535"/>
            <w:vAlign w:val="center"/>
            <w:shd w:val="clear" w:color="auto" w:fill="F1F3F4"/>
          </w:tcPr>
          <w:p>
            <w:r>
              <w:rPr>
                <w:rFonts w:ascii="Calibri" w:hAnsi="Calibri"/>
                <w:b w:val="0"/>
                <w:sz w:val="20"/>
              </w:rPr>
              <w:t>Total Training Hours</w:t>
            </w:r>
          </w:p>
        </w:tc>
        <w:tc>
          <w:tcPr>
            <w:tcW w:type="dxa" w:w="2835"/>
            <w:vAlign w:val="center"/>
            <w:shd w:val="clear" w:color="auto" w:fill="F1F3F4"/>
          </w:tcPr>
          <w:p>
            <w:pPr>
              <w:jc w:val="right"/>
            </w:pPr>
            <w:r>
              <w:rPr>
                <w:rFonts w:ascii="Calibri" w:hAnsi="Calibri"/>
                <w:b w:val="0"/>
                <w:sz w:val="20"/>
              </w:rPr>
              <w:t>52 hours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rFonts w:ascii="Calibri" w:hAnsi="Calibri"/>
                <w:b w:val="0"/>
                <w:sz w:val="20"/>
              </w:rPr>
              <w:t>Rate per Hour</w:t>
            </w:r>
          </w:p>
        </w:tc>
        <w:tc>
          <w:tcPr>
            <w:tcW w:type="dxa" w:w="2835"/>
            <w:vAlign w:val="center"/>
          </w:tcPr>
          <w:p>
            <w:pPr>
              <w:jc w:val="right"/>
            </w:pPr>
            <w:r>
              <w:rPr>
                <w:rFonts w:ascii="Calibri" w:hAnsi="Calibri"/>
                <w:b w:val="0"/>
                <w:sz w:val="20"/>
              </w:rPr>
              <w:t>₱3,500.00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rFonts w:ascii="Calibri" w:hAnsi="Calibri"/>
                <w:b w:val="0"/>
                <w:sz w:val="20"/>
              </w:rPr>
              <w:t>Subtotal</w:t>
            </w:r>
          </w:p>
        </w:tc>
        <w:tc>
          <w:tcPr>
            <w:tcW w:type="dxa" w:w="2835"/>
            <w:vAlign w:val="center"/>
          </w:tcPr>
          <w:p>
            <w:pPr>
              <w:jc w:val="right"/>
            </w:pPr>
            <w:r>
              <w:rPr>
                <w:rFonts w:ascii="Calibri" w:hAnsi="Calibri"/>
                <w:b w:val="0"/>
                <w:sz w:val="20"/>
              </w:rPr>
              <w:t>₱182,000.00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rFonts w:ascii="Calibri" w:hAnsi="Calibri"/>
                <w:b w:val="0"/>
                <w:sz w:val="20"/>
              </w:rPr>
              <w:t>VAT (12%)</w:t>
            </w:r>
          </w:p>
        </w:tc>
        <w:tc>
          <w:tcPr>
            <w:tcW w:type="dxa" w:w="2835"/>
            <w:vAlign w:val="center"/>
          </w:tcPr>
          <w:p>
            <w:pPr>
              <w:jc w:val="right"/>
            </w:pPr>
            <w:r>
              <w:rPr>
                <w:rFonts w:ascii="Calibri" w:hAnsi="Calibri"/>
                <w:b w:val="0"/>
                <w:sz w:val="20"/>
              </w:rPr>
              <w:t>₱21,840.00</w:t>
            </w:r>
          </w:p>
        </w:tc>
      </w:tr>
      <w:tr>
        <w:tc>
          <w:tcPr>
            <w:tcW w:type="dxa" w:w="4535"/>
            <w:vAlign w:val="center"/>
            <w:shd w:val="clear" w:color="auto" w:fill="1A73E8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TOTAL INVESTMENT</w:t>
            </w:r>
          </w:p>
        </w:tc>
        <w:tc>
          <w:tcPr>
            <w:tcW w:type="dxa" w:w="2835"/>
            <w:vAlign w:val="center"/>
            <w:shd w:val="clear" w:color="auto" w:fill="1A73E8"/>
          </w:tcPr>
          <w:p>
            <w:pPr>
              <w:jc w:val="right"/>
            </w:pPr>
            <w:r>
              <w:rPr>
                <w:rFonts w:ascii="Calibri" w:hAnsi="Calibri"/>
                <w:b/>
                <w:color w:val="FFFFFF"/>
                <w:sz w:val="20"/>
              </w:rPr>
              <w:t>₱203,840.00</w:t>
            </w:r>
          </w:p>
        </w:tc>
      </w:tr>
    </w:tbl>
    <w:p/>
    <w:p>
      <w:pPr>
        <w:spacing w:before="280" w:after="80"/>
      </w:pPr>
      <w:r>
        <w:rPr>
          <w:rFonts w:ascii="Calibri" w:hAnsi="Calibri"/>
          <w:b/>
          <w:color w:val="1A73E8"/>
          <w:sz w:val="26"/>
        </w:rPr>
        <w:t>Option 2</w:t>
      </w:r>
    </w:p>
    <w:p>
      <w:pPr>
        <w:spacing w:before="0" w:after="60"/>
      </w:pPr>
      <w:r>
        <w:rPr>
          <w:rFonts w:ascii="Calibri" w:hAnsi="Calibri"/>
          <w:b/>
          <w:color w:val="1E1E1E"/>
          <w:sz w:val="22"/>
        </w:rPr>
        <w:t>Option 2 — Full On-Site at Head Office</w:t>
      </w:r>
    </w:p>
    <w:p>
      <w:pPr>
        <w:spacing w:before="40" w:after="80"/>
      </w:pPr>
      <w:r>
        <w:rPr>
          <w:rFonts w:ascii="Calibri" w:hAnsi="Calibri"/>
          <w:b w:val="0"/>
          <w:i w:val="0"/>
          <w:sz w:val="21"/>
        </w:rPr>
        <w:t>Both days conducted on-site at Head Office. Representatives from all regions travel to HO for a single unified training event.</w:t>
      </w:r>
    </w:p>
    <w:p>
      <w:pPr>
        <w:spacing w:before="40" w:after="80"/>
      </w:pPr>
      <w:r>
        <w:rPr>
          <w:rFonts w:ascii="Calibri" w:hAnsi="Calibri"/>
          <w:b/>
          <w:i w:val="0"/>
          <w:sz w:val="21"/>
        </w:rPr>
        <w:t>Key Advantages: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Full cohort experience — all participants together in one location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Maximum face-to-face interaction for both days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Single event, easier to coordinate</w:t>
      </w:r>
    </w:p>
    <w:p>
      <w:pPr>
        <w:spacing w:before="40" w:after="80"/>
      </w:pPr>
      <w:r>
        <w:rPr>
          <w:rFonts w:ascii="Calibri" w:hAnsi="Calibri"/>
          <w:b/>
          <w:i w:val="0"/>
          <w:sz w:val="21"/>
        </w:rPr>
        <w:t>Considerations: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Significant travel cost for regional staff (borne by PGA)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Higher Symph rate for full on-site delivery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535"/>
            <w:vAlign w:val="center"/>
            <w:shd w:val="clear" w:color="auto" w:fill="F1F3F4"/>
          </w:tcPr>
          <w:p>
            <w:r>
              <w:rPr>
                <w:rFonts w:ascii="Calibri" w:hAnsi="Calibri"/>
                <w:b w:val="0"/>
                <w:sz w:val="20"/>
              </w:rPr>
              <w:t>Total Training Hours</w:t>
            </w:r>
          </w:p>
        </w:tc>
        <w:tc>
          <w:tcPr>
            <w:tcW w:type="dxa" w:w="2835"/>
            <w:vAlign w:val="center"/>
            <w:shd w:val="clear" w:color="auto" w:fill="F1F3F4"/>
          </w:tcPr>
          <w:p>
            <w:pPr>
              <w:jc w:val="right"/>
            </w:pPr>
            <w:r>
              <w:rPr>
                <w:rFonts w:ascii="Calibri" w:hAnsi="Calibri"/>
                <w:b w:val="0"/>
                <w:sz w:val="20"/>
              </w:rPr>
              <w:t>52 hours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rFonts w:ascii="Calibri" w:hAnsi="Calibri"/>
                <w:b w:val="0"/>
                <w:sz w:val="20"/>
              </w:rPr>
              <w:t>Rate per Hour</w:t>
            </w:r>
          </w:p>
        </w:tc>
        <w:tc>
          <w:tcPr>
            <w:tcW w:type="dxa" w:w="2835"/>
            <w:vAlign w:val="center"/>
          </w:tcPr>
          <w:p>
            <w:pPr>
              <w:jc w:val="right"/>
            </w:pPr>
            <w:r>
              <w:rPr>
                <w:rFonts w:ascii="Calibri" w:hAnsi="Calibri"/>
                <w:b w:val="0"/>
                <w:sz w:val="20"/>
              </w:rPr>
              <w:t>₱4,000.00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rFonts w:ascii="Calibri" w:hAnsi="Calibri"/>
                <w:b w:val="0"/>
                <w:sz w:val="20"/>
              </w:rPr>
              <w:t>Subtotal</w:t>
            </w:r>
          </w:p>
        </w:tc>
        <w:tc>
          <w:tcPr>
            <w:tcW w:type="dxa" w:w="2835"/>
            <w:vAlign w:val="center"/>
          </w:tcPr>
          <w:p>
            <w:pPr>
              <w:jc w:val="right"/>
            </w:pPr>
            <w:r>
              <w:rPr>
                <w:rFonts w:ascii="Calibri" w:hAnsi="Calibri"/>
                <w:b w:val="0"/>
                <w:sz w:val="20"/>
              </w:rPr>
              <w:t>₱208,000.00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rFonts w:ascii="Calibri" w:hAnsi="Calibri"/>
                <w:b w:val="0"/>
                <w:sz w:val="20"/>
              </w:rPr>
              <w:t>VAT (12%)</w:t>
            </w:r>
          </w:p>
        </w:tc>
        <w:tc>
          <w:tcPr>
            <w:tcW w:type="dxa" w:w="2835"/>
            <w:vAlign w:val="center"/>
          </w:tcPr>
          <w:p>
            <w:pPr>
              <w:jc w:val="right"/>
            </w:pPr>
            <w:r>
              <w:rPr>
                <w:rFonts w:ascii="Calibri" w:hAnsi="Calibri"/>
                <w:b w:val="0"/>
                <w:sz w:val="20"/>
              </w:rPr>
              <w:t>₱24,960.00</w:t>
            </w:r>
          </w:p>
        </w:tc>
      </w:tr>
      <w:tr>
        <w:tc>
          <w:tcPr>
            <w:tcW w:type="dxa" w:w="4535"/>
            <w:vAlign w:val="center"/>
            <w:shd w:val="clear" w:color="auto" w:fill="1A73E8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TOTAL INVESTMENT</w:t>
            </w:r>
          </w:p>
        </w:tc>
        <w:tc>
          <w:tcPr>
            <w:tcW w:type="dxa" w:w="2835"/>
            <w:vAlign w:val="center"/>
            <w:shd w:val="clear" w:color="auto" w:fill="1A73E8"/>
          </w:tcPr>
          <w:p>
            <w:pPr>
              <w:jc w:val="right"/>
            </w:pPr>
            <w:r>
              <w:rPr>
                <w:rFonts w:ascii="Calibri" w:hAnsi="Calibri"/>
                <w:b/>
                <w:color w:val="FFFFFF"/>
                <w:sz w:val="20"/>
              </w:rPr>
              <w:t>₱232,960.00</w:t>
            </w:r>
          </w:p>
        </w:tc>
      </w:tr>
    </w:tbl>
    <w:p/>
    <w:p>
      <w:pPr>
        <w:spacing w:before="280" w:after="80"/>
      </w:pPr>
      <w:r>
        <w:rPr>
          <w:rFonts w:ascii="Calibri" w:hAnsi="Calibri"/>
          <w:b/>
          <w:color w:val="1A73E8"/>
          <w:sz w:val="26"/>
        </w:rPr>
        <w:t>Option 3</w:t>
      </w:r>
    </w:p>
    <w:p>
      <w:pPr>
        <w:spacing w:before="0" w:after="60"/>
      </w:pPr>
      <w:r>
        <w:rPr>
          <w:rFonts w:ascii="Calibri" w:hAnsi="Calibri"/>
          <w:b/>
          <w:color w:val="1E1E1E"/>
          <w:sz w:val="22"/>
        </w:rPr>
        <w:t>Option 3 — Sequential Regional Training (3 Batches)</w:t>
      </w:r>
    </w:p>
    <w:p>
      <w:pPr>
        <w:spacing w:before="40" w:after="80"/>
      </w:pPr>
      <w:r>
        <w:rPr>
          <w:rFonts w:ascii="Calibri" w:hAnsi="Calibri"/>
          <w:b w:val="0"/>
          <w:i w:val="0"/>
          <w:sz w:val="21"/>
        </w:rPr>
        <w:t>Separate 2-day on-site training per region: Luzon → Visayas → Mindanao. Symph travels to each region. Full reach with the deepest regional engagement.</w:t>
      </w:r>
    </w:p>
    <w:p>
      <w:pPr>
        <w:spacing w:before="40" w:after="80"/>
      </w:pPr>
      <w:r>
        <w:rPr>
          <w:rFonts w:ascii="Calibri" w:hAnsi="Calibri"/>
          <w:b/>
          <w:i w:val="0"/>
          <w:sz w:val="21"/>
        </w:rPr>
        <w:t>Key Advantages: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Full regional reach — all staff trained in their own location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Deep face-to-face engagement per region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No travel required from PGA regional staff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Regional customization possible per batch</w:t>
      </w:r>
    </w:p>
    <w:p>
      <w:pPr>
        <w:spacing w:before="40" w:after="80"/>
      </w:pPr>
      <w:r>
        <w:rPr>
          <w:rFonts w:ascii="Calibri" w:hAnsi="Calibri"/>
          <w:b/>
          <w:i w:val="0"/>
          <w:sz w:val="21"/>
        </w:rPr>
        <w:t>Considerations: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Highest investment — 3× the delivery effort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Symph travel costs billed at actual (flights + accommodation for 2 trainers × 2 regional trips)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535"/>
            <w:vAlign w:val="center"/>
            <w:shd w:val="clear" w:color="auto" w:fill="F1F3F4"/>
          </w:tcPr>
          <w:p>
            <w:r>
              <w:rPr>
                <w:rFonts w:ascii="Calibri" w:hAnsi="Calibri"/>
                <w:b w:val="0"/>
                <w:sz w:val="20"/>
              </w:rPr>
              <w:t>Total Training Hours</w:t>
            </w:r>
          </w:p>
        </w:tc>
        <w:tc>
          <w:tcPr>
            <w:tcW w:type="dxa" w:w="2835"/>
            <w:vAlign w:val="center"/>
            <w:shd w:val="clear" w:color="auto" w:fill="F1F3F4"/>
          </w:tcPr>
          <w:p>
            <w:pPr>
              <w:jc w:val="right"/>
            </w:pPr>
            <w:r>
              <w:rPr>
                <w:rFonts w:ascii="Calibri" w:hAnsi="Calibri"/>
                <w:b w:val="0"/>
                <w:sz w:val="20"/>
              </w:rPr>
              <w:t>127 hours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rFonts w:ascii="Calibri" w:hAnsi="Calibri"/>
                <w:b w:val="0"/>
                <w:sz w:val="20"/>
              </w:rPr>
              <w:t>Rate per Hour</w:t>
            </w:r>
          </w:p>
        </w:tc>
        <w:tc>
          <w:tcPr>
            <w:tcW w:type="dxa" w:w="2835"/>
            <w:vAlign w:val="center"/>
          </w:tcPr>
          <w:p>
            <w:pPr>
              <w:jc w:val="right"/>
            </w:pPr>
            <w:r>
              <w:rPr>
                <w:rFonts w:ascii="Calibri" w:hAnsi="Calibri"/>
                <w:b w:val="0"/>
                <w:sz w:val="20"/>
              </w:rPr>
              <w:t>₱3,000.00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rFonts w:ascii="Calibri" w:hAnsi="Calibri"/>
                <w:b w:val="0"/>
                <w:sz w:val="20"/>
              </w:rPr>
              <w:t>Subtotal</w:t>
            </w:r>
          </w:p>
        </w:tc>
        <w:tc>
          <w:tcPr>
            <w:tcW w:type="dxa" w:w="2835"/>
            <w:vAlign w:val="center"/>
          </w:tcPr>
          <w:p>
            <w:pPr>
              <w:jc w:val="right"/>
            </w:pPr>
            <w:r>
              <w:rPr>
                <w:rFonts w:ascii="Calibri" w:hAnsi="Calibri"/>
                <w:b w:val="0"/>
                <w:sz w:val="20"/>
              </w:rPr>
              <w:t>₱381,000.00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rFonts w:ascii="Calibri" w:hAnsi="Calibri"/>
                <w:b w:val="0"/>
                <w:sz w:val="20"/>
              </w:rPr>
              <w:t>VAT (12%)</w:t>
            </w:r>
          </w:p>
        </w:tc>
        <w:tc>
          <w:tcPr>
            <w:tcW w:type="dxa" w:w="2835"/>
            <w:vAlign w:val="center"/>
          </w:tcPr>
          <w:p>
            <w:pPr>
              <w:jc w:val="right"/>
            </w:pPr>
            <w:r>
              <w:rPr>
                <w:rFonts w:ascii="Calibri" w:hAnsi="Calibri"/>
                <w:b w:val="0"/>
                <w:sz w:val="20"/>
              </w:rPr>
              <w:t>₱45,720.00</w:t>
            </w:r>
          </w:p>
        </w:tc>
      </w:tr>
      <w:tr>
        <w:tc>
          <w:tcPr>
            <w:tcW w:type="dxa" w:w="4535"/>
            <w:vAlign w:val="center"/>
            <w:shd w:val="clear" w:color="auto" w:fill="1A73E8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TOTAL INVESTMENT</w:t>
            </w:r>
          </w:p>
        </w:tc>
        <w:tc>
          <w:tcPr>
            <w:tcW w:type="dxa" w:w="2835"/>
            <w:vAlign w:val="center"/>
            <w:shd w:val="clear" w:color="auto" w:fill="1A73E8"/>
          </w:tcPr>
          <w:p>
            <w:pPr>
              <w:jc w:val="right"/>
            </w:pPr>
            <w:r>
              <w:rPr>
                <w:rFonts w:ascii="Calibri" w:hAnsi="Calibri"/>
                <w:b/>
                <w:color w:val="FFFFFF"/>
                <w:sz w:val="20"/>
              </w:rPr>
              <w:t>₱426,720.00</w:t>
            </w:r>
          </w:p>
        </w:tc>
      </w:tr>
    </w:tbl>
    <w:p/>
    <w:p>
      <w:pPr>
        <w:spacing w:before="280" w:after="80"/>
      </w:pPr>
      <w:r>
        <w:rPr>
          <w:rFonts w:ascii="Calibri" w:hAnsi="Calibri"/>
          <w:b/>
          <w:color w:val="1A73E8"/>
          <w:sz w:val="26"/>
        </w:rPr>
        <w:t>Option 4</w:t>
      </w:r>
    </w:p>
    <w:p>
      <w:pPr>
        <w:spacing w:before="0" w:after="60"/>
      </w:pPr>
      <w:r>
        <w:rPr>
          <w:rFonts w:ascii="Calibri" w:hAnsi="Calibri"/>
          <w:b/>
          <w:color w:val="1E1E1E"/>
          <w:sz w:val="22"/>
        </w:rPr>
        <w:t>Option 4 — Fully Online</w:t>
      </w:r>
    </w:p>
    <w:p>
      <w:pPr>
        <w:spacing w:before="40" w:after="80"/>
      </w:pPr>
      <w:r>
        <w:rPr>
          <w:rFonts w:ascii="Calibri" w:hAnsi="Calibri"/>
          <w:b w:val="0"/>
          <w:i w:val="0"/>
          <w:sz w:val="21"/>
        </w:rPr>
        <w:t>Both days conducted fully online. All 718 users join from their own desks with no travel required from either party.</w:t>
      </w:r>
    </w:p>
    <w:p>
      <w:pPr>
        <w:spacing w:before="40" w:after="80"/>
      </w:pPr>
      <w:r>
        <w:rPr>
          <w:rFonts w:ascii="Calibri" w:hAnsi="Calibri"/>
          <w:b/>
          <w:i w:val="0"/>
          <w:sz w:val="21"/>
        </w:rPr>
        <w:t>Key Advantages: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Zero travel cost for both parties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Full regional reach — all 718 users participate both days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Most cost-efficient option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Maximum scheduling flexibility</w:t>
      </w:r>
    </w:p>
    <w:p>
      <w:pPr>
        <w:spacing w:before="40" w:after="80"/>
      </w:pPr>
      <w:r>
        <w:rPr>
          <w:rFonts w:ascii="Calibri" w:hAnsi="Calibri"/>
          <w:b/>
          <w:i w:val="0"/>
          <w:sz w:val="21"/>
        </w:rPr>
        <w:t>Considerations: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Apps Script Bootcamp conducted online — less hands-on than F2F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Requires participants to have their own devices and stable internet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535"/>
            <w:vAlign w:val="center"/>
            <w:shd w:val="clear" w:color="auto" w:fill="F1F3F4"/>
          </w:tcPr>
          <w:p>
            <w:r>
              <w:rPr>
                <w:rFonts w:ascii="Calibri" w:hAnsi="Calibri"/>
                <w:b w:val="0"/>
                <w:sz w:val="20"/>
              </w:rPr>
              <w:t>Total Training Hours</w:t>
            </w:r>
          </w:p>
        </w:tc>
        <w:tc>
          <w:tcPr>
            <w:tcW w:type="dxa" w:w="2835"/>
            <w:vAlign w:val="center"/>
            <w:shd w:val="clear" w:color="auto" w:fill="F1F3F4"/>
          </w:tcPr>
          <w:p>
            <w:pPr>
              <w:jc w:val="right"/>
            </w:pPr>
            <w:r>
              <w:rPr>
                <w:rFonts w:ascii="Calibri" w:hAnsi="Calibri"/>
                <w:b w:val="0"/>
                <w:sz w:val="20"/>
              </w:rPr>
              <w:t>52 hours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rFonts w:ascii="Calibri" w:hAnsi="Calibri"/>
                <w:b w:val="0"/>
                <w:sz w:val="20"/>
              </w:rPr>
              <w:t>Rate per Hour</w:t>
            </w:r>
          </w:p>
        </w:tc>
        <w:tc>
          <w:tcPr>
            <w:tcW w:type="dxa" w:w="2835"/>
            <w:vAlign w:val="center"/>
          </w:tcPr>
          <w:p>
            <w:pPr>
              <w:jc w:val="right"/>
            </w:pPr>
            <w:r>
              <w:rPr>
                <w:rFonts w:ascii="Calibri" w:hAnsi="Calibri"/>
                <w:b w:val="0"/>
                <w:sz w:val="20"/>
              </w:rPr>
              <w:t>₱3,000.00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rFonts w:ascii="Calibri" w:hAnsi="Calibri"/>
                <w:b w:val="0"/>
                <w:sz w:val="20"/>
              </w:rPr>
              <w:t>Subtotal</w:t>
            </w:r>
          </w:p>
        </w:tc>
        <w:tc>
          <w:tcPr>
            <w:tcW w:type="dxa" w:w="2835"/>
            <w:vAlign w:val="center"/>
          </w:tcPr>
          <w:p>
            <w:pPr>
              <w:jc w:val="right"/>
            </w:pPr>
            <w:r>
              <w:rPr>
                <w:rFonts w:ascii="Calibri" w:hAnsi="Calibri"/>
                <w:b w:val="0"/>
                <w:sz w:val="20"/>
              </w:rPr>
              <w:t>₱156,000.00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rFonts w:ascii="Calibri" w:hAnsi="Calibri"/>
                <w:b w:val="0"/>
                <w:sz w:val="20"/>
              </w:rPr>
              <w:t>VAT (12%)</w:t>
            </w:r>
          </w:p>
        </w:tc>
        <w:tc>
          <w:tcPr>
            <w:tcW w:type="dxa" w:w="2835"/>
            <w:vAlign w:val="center"/>
          </w:tcPr>
          <w:p>
            <w:pPr>
              <w:jc w:val="right"/>
            </w:pPr>
            <w:r>
              <w:rPr>
                <w:rFonts w:ascii="Calibri" w:hAnsi="Calibri"/>
                <w:b w:val="0"/>
                <w:sz w:val="20"/>
              </w:rPr>
              <w:t>₱18,720.00</w:t>
            </w:r>
          </w:p>
        </w:tc>
      </w:tr>
      <w:tr>
        <w:tc>
          <w:tcPr>
            <w:tcW w:type="dxa" w:w="4535"/>
            <w:vAlign w:val="center"/>
            <w:shd w:val="clear" w:color="auto" w:fill="1A73E8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TOTAL INVESTMENT</w:t>
            </w:r>
          </w:p>
        </w:tc>
        <w:tc>
          <w:tcPr>
            <w:tcW w:type="dxa" w:w="2835"/>
            <w:vAlign w:val="center"/>
            <w:shd w:val="clear" w:color="auto" w:fill="1A73E8"/>
          </w:tcPr>
          <w:p>
            <w:pPr>
              <w:jc w:val="right"/>
            </w:pPr>
            <w:r>
              <w:rPr>
                <w:rFonts w:ascii="Calibri" w:hAnsi="Calibri"/>
                <w:b/>
                <w:color w:val="FFFFFF"/>
                <w:sz w:val="20"/>
              </w:rPr>
              <w:t>₱174,720.00</w:t>
            </w:r>
          </w:p>
        </w:tc>
      </w:tr>
    </w:tbl>
    <w:p/>
    <w:p>
      <w:pPr>
        <w:spacing w:before="280" w:after="80"/>
      </w:pPr>
      <w:r>
        <w:rPr>
          <w:rFonts w:ascii="Calibri" w:hAnsi="Calibri"/>
          <w:b/>
          <w:color w:val="1A73E8"/>
          <w:sz w:val="32"/>
        </w:rPr>
        <w:t>06  Options at a Glance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1A73E8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</w:r>
          </w:p>
        </w:tc>
        <w:tc>
          <w:tcPr>
            <w:tcW w:type="dxa" w:w="1881"/>
            <w:shd w:val="clear" w:color="auto" w:fill="1A73E8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Option 1 ★</w:t>
            </w:r>
          </w:p>
        </w:tc>
        <w:tc>
          <w:tcPr>
            <w:tcW w:type="dxa" w:w="1881"/>
            <w:shd w:val="clear" w:color="auto" w:fill="1A73E8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Option 2</w:t>
            </w:r>
          </w:p>
        </w:tc>
        <w:tc>
          <w:tcPr>
            <w:tcW w:type="dxa" w:w="1881"/>
            <w:shd w:val="clear" w:color="auto" w:fill="1A73E8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Option 3</w:t>
            </w:r>
          </w:p>
        </w:tc>
        <w:tc>
          <w:tcPr>
            <w:tcW w:type="dxa" w:w="1881"/>
            <w:shd w:val="clear" w:color="auto" w:fill="1A73E8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Option 4</w:t>
            </w:r>
          </w:p>
        </w:tc>
      </w:tr>
      <w:tr>
        <w:tc>
          <w:tcPr>
            <w:tcW w:type="dxa" w:w="1881"/>
            <w:shd w:val="clear" w:color="auto" w:fill="F8F9FA"/>
          </w:tcPr>
          <w:p>
            <w:r>
              <w:rPr>
                <w:rFonts w:ascii="Calibri" w:hAnsi="Calibri"/>
                <w:b/>
                <w:sz w:val="18"/>
              </w:rPr>
              <w:t>Day 1 Format</w:t>
            </w:r>
          </w:p>
        </w:tc>
        <w:tc>
          <w:tcPr>
            <w:tcW w:type="dxa" w:w="1881"/>
            <w:shd w:val="clear" w:color="auto" w:fill="F8F9FA"/>
          </w:tcPr>
          <w:p>
            <w:pPr>
              <w:jc w:val="center"/>
            </w:pPr>
            <w:r>
              <w:rPr>
                <w:rFonts w:ascii="Calibri" w:hAnsi="Calibri"/>
                <w:b w:val="0"/>
                <w:sz w:val="18"/>
              </w:rPr>
              <w:t>Online (all regions)</w:t>
            </w:r>
          </w:p>
        </w:tc>
        <w:tc>
          <w:tcPr>
            <w:tcW w:type="dxa" w:w="1881"/>
            <w:shd w:val="clear" w:color="auto" w:fill="F8F9FA"/>
          </w:tcPr>
          <w:p>
            <w:pPr>
              <w:jc w:val="center"/>
            </w:pPr>
            <w:r>
              <w:rPr>
                <w:rFonts w:ascii="Calibri" w:hAnsi="Calibri"/>
                <w:b w:val="0"/>
                <w:sz w:val="18"/>
              </w:rPr>
              <w:t>On-site HO</w:t>
            </w:r>
          </w:p>
        </w:tc>
        <w:tc>
          <w:tcPr>
            <w:tcW w:type="dxa" w:w="1881"/>
            <w:shd w:val="clear" w:color="auto" w:fill="F8F9FA"/>
          </w:tcPr>
          <w:p>
            <w:pPr>
              <w:jc w:val="center"/>
            </w:pPr>
            <w:r>
              <w:rPr>
                <w:rFonts w:ascii="Calibri" w:hAnsi="Calibri"/>
                <w:b w:val="0"/>
                <w:sz w:val="18"/>
              </w:rPr>
              <w:t>On-site per region</w:t>
            </w:r>
          </w:p>
        </w:tc>
        <w:tc>
          <w:tcPr>
            <w:tcW w:type="dxa" w:w="1881"/>
            <w:shd w:val="clear" w:color="auto" w:fill="F8F9FA"/>
          </w:tcPr>
          <w:p>
            <w:pPr>
              <w:jc w:val="center"/>
            </w:pPr>
            <w:r>
              <w:rPr>
                <w:rFonts w:ascii="Calibri" w:hAnsi="Calibri"/>
                <w:b w:val="0"/>
                <w:sz w:val="18"/>
              </w:rPr>
              <w:t>Online</w:t>
            </w:r>
          </w:p>
        </w:tc>
      </w:tr>
      <w:tr>
        <w:tc>
          <w:tcPr>
            <w:tcW w:type="dxa" w:w="1881"/>
          </w:tcPr>
          <w:p>
            <w:r>
              <w:rPr>
                <w:rFonts w:ascii="Calibri" w:hAnsi="Calibri"/>
                <w:b/>
                <w:sz w:val="18"/>
              </w:rPr>
              <w:t>Day 2 Format</w:t>
            </w:r>
          </w:p>
        </w:tc>
        <w:tc>
          <w:tcPr>
            <w:tcW w:type="dxa" w:w="1881"/>
          </w:tcPr>
          <w:p>
            <w:pPr>
              <w:jc w:val="center"/>
            </w:pPr>
            <w:r>
              <w:rPr>
                <w:rFonts w:ascii="Calibri" w:hAnsi="Calibri"/>
                <w:b w:val="0"/>
                <w:sz w:val="18"/>
              </w:rPr>
              <w:t>On-site HO</w:t>
            </w:r>
          </w:p>
        </w:tc>
        <w:tc>
          <w:tcPr>
            <w:tcW w:type="dxa" w:w="1881"/>
          </w:tcPr>
          <w:p>
            <w:pPr>
              <w:jc w:val="center"/>
            </w:pPr>
            <w:r>
              <w:rPr>
                <w:rFonts w:ascii="Calibri" w:hAnsi="Calibri"/>
                <w:b w:val="0"/>
                <w:sz w:val="18"/>
              </w:rPr>
              <w:t>On-site HO</w:t>
            </w:r>
          </w:p>
        </w:tc>
        <w:tc>
          <w:tcPr>
            <w:tcW w:type="dxa" w:w="1881"/>
          </w:tcPr>
          <w:p>
            <w:pPr>
              <w:jc w:val="center"/>
            </w:pPr>
            <w:r>
              <w:rPr>
                <w:rFonts w:ascii="Calibri" w:hAnsi="Calibri"/>
                <w:b w:val="0"/>
                <w:sz w:val="18"/>
              </w:rPr>
              <w:t>On-site per region</w:t>
            </w:r>
          </w:p>
        </w:tc>
        <w:tc>
          <w:tcPr>
            <w:tcW w:type="dxa" w:w="1881"/>
          </w:tcPr>
          <w:p>
            <w:pPr>
              <w:jc w:val="center"/>
            </w:pPr>
            <w:r>
              <w:rPr>
                <w:rFonts w:ascii="Calibri" w:hAnsi="Calibri"/>
                <w:b w:val="0"/>
                <w:sz w:val="18"/>
              </w:rPr>
              <w:t>Online</w:t>
            </w:r>
          </w:p>
        </w:tc>
      </w:tr>
      <w:tr>
        <w:tc>
          <w:tcPr>
            <w:tcW w:type="dxa" w:w="1881"/>
            <w:shd w:val="clear" w:color="auto" w:fill="F8F9FA"/>
          </w:tcPr>
          <w:p>
            <w:r>
              <w:rPr>
                <w:rFonts w:ascii="Calibri" w:hAnsi="Calibri"/>
                <w:b/>
                <w:sz w:val="18"/>
              </w:rPr>
              <w:t>Who Attends D1</w:t>
            </w:r>
          </w:p>
        </w:tc>
        <w:tc>
          <w:tcPr>
            <w:tcW w:type="dxa" w:w="1881"/>
            <w:shd w:val="clear" w:color="auto" w:fill="F8F9FA"/>
          </w:tcPr>
          <w:p>
            <w:pPr>
              <w:jc w:val="center"/>
            </w:pPr>
            <w:r>
              <w:rPr>
                <w:rFonts w:ascii="Calibri" w:hAnsi="Calibri"/>
                <w:b w:val="0"/>
                <w:sz w:val="18"/>
              </w:rPr>
              <w:t>All 718 users</w:t>
            </w:r>
          </w:p>
        </w:tc>
        <w:tc>
          <w:tcPr>
            <w:tcW w:type="dxa" w:w="1881"/>
            <w:shd w:val="clear" w:color="auto" w:fill="F8F9FA"/>
          </w:tcPr>
          <w:p>
            <w:pPr>
              <w:jc w:val="center"/>
            </w:pPr>
            <w:r>
              <w:rPr>
                <w:rFonts w:ascii="Calibri" w:hAnsi="Calibri"/>
                <w:b w:val="0"/>
                <w:sz w:val="18"/>
              </w:rPr>
              <w:t>HO reps only</w:t>
            </w:r>
          </w:p>
        </w:tc>
        <w:tc>
          <w:tcPr>
            <w:tcW w:type="dxa" w:w="1881"/>
            <w:shd w:val="clear" w:color="auto" w:fill="F8F9FA"/>
          </w:tcPr>
          <w:p>
            <w:pPr>
              <w:jc w:val="center"/>
            </w:pPr>
            <w:r>
              <w:rPr>
                <w:rFonts w:ascii="Calibri" w:hAnsi="Calibri"/>
                <w:b w:val="0"/>
                <w:sz w:val="18"/>
              </w:rPr>
              <w:t>Each region's staff</w:t>
            </w:r>
          </w:p>
        </w:tc>
        <w:tc>
          <w:tcPr>
            <w:tcW w:type="dxa" w:w="1881"/>
            <w:shd w:val="clear" w:color="auto" w:fill="F8F9FA"/>
          </w:tcPr>
          <w:p>
            <w:pPr>
              <w:jc w:val="center"/>
            </w:pPr>
            <w:r>
              <w:rPr>
                <w:rFonts w:ascii="Calibri" w:hAnsi="Calibri"/>
                <w:b w:val="0"/>
                <w:sz w:val="18"/>
              </w:rPr>
              <w:t>All 718 users</w:t>
            </w:r>
          </w:p>
        </w:tc>
      </w:tr>
      <w:tr>
        <w:tc>
          <w:tcPr>
            <w:tcW w:type="dxa" w:w="1881"/>
          </w:tcPr>
          <w:p>
            <w:r>
              <w:rPr>
                <w:rFonts w:ascii="Calibri" w:hAnsi="Calibri"/>
                <w:b/>
                <w:sz w:val="18"/>
              </w:rPr>
              <w:t>Who Attends D2</w:t>
            </w:r>
          </w:p>
        </w:tc>
        <w:tc>
          <w:tcPr>
            <w:tcW w:type="dxa" w:w="1881"/>
          </w:tcPr>
          <w:p>
            <w:pPr>
              <w:jc w:val="center"/>
            </w:pPr>
            <w:r>
              <w:rPr>
                <w:rFonts w:ascii="Calibri" w:hAnsi="Calibri"/>
                <w:b w:val="0"/>
                <w:sz w:val="18"/>
              </w:rPr>
              <w:t>HO power users</w:t>
            </w:r>
          </w:p>
        </w:tc>
        <w:tc>
          <w:tcPr>
            <w:tcW w:type="dxa" w:w="1881"/>
          </w:tcPr>
          <w:p>
            <w:pPr>
              <w:jc w:val="center"/>
            </w:pPr>
            <w:r>
              <w:rPr>
                <w:rFonts w:ascii="Calibri" w:hAnsi="Calibri"/>
                <w:b w:val="0"/>
                <w:sz w:val="18"/>
              </w:rPr>
              <w:t>All power users</w:t>
            </w:r>
          </w:p>
        </w:tc>
        <w:tc>
          <w:tcPr>
            <w:tcW w:type="dxa" w:w="1881"/>
          </w:tcPr>
          <w:p>
            <w:pPr>
              <w:jc w:val="center"/>
            </w:pPr>
            <w:r>
              <w:rPr>
                <w:rFonts w:ascii="Calibri" w:hAnsi="Calibri"/>
                <w:b w:val="0"/>
                <w:sz w:val="18"/>
              </w:rPr>
              <w:t>Regional champions</w:t>
            </w:r>
          </w:p>
        </w:tc>
        <w:tc>
          <w:tcPr>
            <w:tcW w:type="dxa" w:w="1881"/>
          </w:tcPr>
          <w:p>
            <w:pPr>
              <w:jc w:val="center"/>
            </w:pPr>
            <w:r>
              <w:rPr>
                <w:rFonts w:ascii="Calibri" w:hAnsi="Calibri"/>
                <w:b w:val="0"/>
                <w:sz w:val="18"/>
              </w:rPr>
              <w:t>All power users</w:t>
            </w:r>
          </w:p>
        </w:tc>
      </w:tr>
      <w:tr>
        <w:tc>
          <w:tcPr>
            <w:tcW w:type="dxa" w:w="1881"/>
            <w:shd w:val="clear" w:color="auto" w:fill="F8F9FA"/>
          </w:tcPr>
          <w:p>
            <w:r>
              <w:rPr>
                <w:rFonts w:ascii="Calibri" w:hAnsi="Calibri"/>
                <w:b/>
                <w:sz w:val="18"/>
              </w:rPr>
              <w:t>Venue Required</w:t>
            </w:r>
          </w:p>
        </w:tc>
        <w:tc>
          <w:tcPr>
            <w:tcW w:type="dxa" w:w="1881"/>
            <w:shd w:val="clear" w:color="auto" w:fill="F8F9FA"/>
          </w:tcPr>
          <w:p>
            <w:pPr>
              <w:jc w:val="center"/>
            </w:pPr>
            <w:r>
              <w:rPr>
                <w:rFonts w:ascii="Calibri" w:hAnsi="Calibri"/>
                <w:b w:val="0"/>
                <w:sz w:val="18"/>
              </w:rPr>
              <w:t>Day 2 only (HO)</w:t>
            </w:r>
          </w:p>
        </w:tc>
        <w:tc>
          <w:tcPr>
            <w:tcW w:type="dxa" w:w="1881"/>
            <w:shd w:val="clear" w:color="auto" w:fill="F8F9FA"/>
          </w:tcPr>
          <w:p>
            <w:pPr>
              <w:jc w:val="center"/>
            </w:pPr>
            <w:r>
              <w:rPr>
                <w:rFonts w:ascii="Calibri" w:hAnsi="Calibri"/>
                <w:b w:val="0"/>
                <w:sz w:val="18"/>
              </w:rPr>
              <w:t>Both days (HO)</w:t>
            </w:r>
          </w:p>
        </w:tc>
        <w:tc>
          <w:tcPr>
            <w:tcW w:type="dxa" w:w="1881"/>
            <w:shd w:val="clear" w:color="auto" w:fill="F8F9FA"/>
          </w:tcPr>
          <w:p>
            <w:pPr>
              <w:jc w:val="center"/>
            </w:pPr>
            <w:r>
              <w:rPr>
                <w:rFonts w:ascii="Calibri" w:hAnsi="Calibri"/>
                <w:b w:val="0"/>
                <w:sz w:val="18"/>
              </w:rPr>
              <w:t>Per region venue</w:t>
            </w:r>
          </w:p>
        </w:tc>
        <w:tc>
          <w:tcPr>
            <w:tcW w:type="dxa" w:w="1881"/>
            <w:shd w:val="clear" w:color="auto" w:fill="F8F9FA"/>
          </w:tcPr>
          <w:p>
            <w:pPr>
              <w:jc w:val="center"/>
            </w:pPr>
            <w:r>
              <w:rPr>
                <w:rFonts w:ascii="Calibri" w:hAnsi="Calibri"/>
                <w:b w:val="0"/>
                <w:sz w:val="18"/>
              </w:rPr>
              <w:t>None</w:t>
            </w:r>
          </w:p>
        </w:tc>
      </w:tr>
      <w:tr>
        <w:tc>
          <w:tcPr>
            <w:tcW w:type="dxa" w:w="1881"/>
          </w:tcPr>
          <w:p>
            <w:r>
              <w:rPr>
                <w:rFonts w:ascii="Calibri" w:hAnsi="Calibri"/>
                <w:b/>
                <w:sz w:val="18"/>
              </w:rPr>
              <w:t>Travel Cost (PGA)</w:t>
            </w:r>
          </w:p>
        </w:tc>
        <w:tc>
          <w:tcPr>
            <w:tcW w:type="dxa" w:w="1881"/>
          </w:tcPr>
          <w:p>
            <w:pPr>
              <w:jc w:val="center"/>
            </w:pPr>
            <w:r>
              <w:rPr>
                <w:rFonts w:ascii="Calibri" w:hAnsi="Calibri"/>
                <w:b w:val="0"/>
                <w:sz w:val="18"/>
              </w:rPr>
              <w:t>Minimal</w:t>
            </w:r>
          </w:p>
        </w:tc>
        <w:tc>
          <w:tcPr>
            <w:tcW w:type="dxa" w:w="1881"/>
          </w:tcPr>
          <w:p>
            <w:pPr>
              <w:jc w:val="center"/>
            </w:pPr>
            <w:r>
              <w:rPr>
                <w:rFonts w:ascii="Calibri" w:hAnsi="Calibri"/>
                <w:b w:val="0"/>
                <w:sz w:val="18"/>
              </w:rPr>
              <w:t>High</w:t>
            </w:r>
          </w:p>
        </w:tc>
        <w:tc>
          <w:tcPr>
            <w:tcW w:type="dxa" w:w="1881"/>
          </w:tcPr>
          <w:p>
            <w:pPr>
              <w:jc w:val="center"/>
            </w:pPr>
            <w:r>
              <w:rPr>
                <w:rFonts w:ascii="Calibri" w:hAnsi="Calibri"/>
                <w:b w:val="0"/>
                <w:sz w:val="18"/>
              </w:rPr>
              <w:t>None</w:t>
            </w:r>
          </w:p>
        </w:tc>
        <w:tc>
          <w:tcPr>
            <w:tcW w:type="dxa" w:w="1881"/>
          </w:tcPr>
          <w:p>
            <w:pPr>
              <w:jc w:val="center"/>
            </w:pPr>
            <w:r>
              <w:rPr>
                <w:rFonts w:ascii="Calibri" w:hAnsi="Calibri"/>
                <w:b w:val="0"/>
                <w:sz w:val="18"/>
              </w:rPr>
              <w:t>None</w:t>
            </w:r>
          </w:p>
        </w:tc>
      </w:tr>
      <w:tr>
        <w:tc>
          <w:tcPr>
            <w:tcW w:type="dxa" w:w="1881"/>
            <w:shd w:val="clear" w:color="auto" w:fill="F8F9FA"/>
          </w:tcPr>
          <w:p>
            <w:r>
              <w:rPr>
                <w:rFonts w:ascii="Calibri" w:hAnsi="Calibri"/>
                <w:b/>
                <w:sz w:val="18"/>
              </w:rPr>
              <w:t>Branch Reach</w:t>
            </w:r>
          </w:p>
        </w:tc>
        <w:tc>
          <w:tcPr>
            <w:tcW w:type="dxa" w:w="1881"/>
            <w:shd w:val="clear" w:color="auto" w:fill="F8F9FA"/>
          </w:tcPr>
          <w:p>
            <w:pPr>
              <w:jc w:val="center"/>
            </w:pPr>
            <w:r>
              <w:rPr>
                <w:rFonts w:ascii="Calibri" w:hAnsi="Calibri"/>
                <w:b w:val="0"/>
                <w:sz w:val="18"/>
              </w:rPr>
              <w:t>Day 1 only</w:t>
            </w:r>
          </w:p>
        </w:tc>
        <w:tc>
          <w:tcPr>
            <w:tcW w:type="dxa" w:w="1881"/>
            <w:shd w:val="clear" w:color="auto" w:fill="F8F9FA"/>
          </w:tcPr>
          <w:p>
            <w:pPr>
              <w:jc w:val="center"/>
            </w:pPr>
            <w:r>
              <w:rPr>
                <w:rFonts w:ascii="Calibri" w:hAnsi="Calibri"/>
                <w:b w:val="0"/>
                <w:sz w:val="18"/>
              </w:rPr>
              <w:t>Reps only</w:t>
            </w:r>
          </w:p>
        </w:tc>
        <w:tc>
          <w:tcPr>
            <w:tcW w:type="dxa" w:w="1881"/>
            <w:shd w:val="clear" w:color="auto" w:fill="F8F9FA"/>
          </w:tcPr>
          <w:p>
            <w:pPr>
              <w:jc w:val="center"/>
            </w:pPr>
            <w:r>
              <w:rPr>
                <w:rFonts w:ascii="Calibri" w:hAnsi="Calibri"/>
                <w:b w:val="0"/>
                <w:sz w:val="18"/>
              </w:rPr>
              <w:t>Full reach</w:t>
            </w:r>
          </w:p>
        </w:tc>
        <w:tc>
          <w:tcPr>
            <w:tcW w:type="dxa" w:w="1881"/>
            <w:shd w:val="clear" w:color="auto" w:fill="F8F9FA"/>
          </w:tcPr>
          <w:p>
            <w:pPr>
              <w:jc w:val="center"/>
            </w:pPr>
            <w:r>
              <w:rPr>
                <w:rFonts w:ascii="Calibri" w:hAnsi="Calibri"/>
                <w:b w:val="0"/>
                <w:sz w:val="18"/>
              </w:rPr>
              <w:t>Full reach</w:t>
            </w:r>
          </w:p>
        </w:tc>
      </w:tr>
      <w:tr>
        <w:tc>
          <w:tcPr>
            <w:tcW w:type="dxa" w:w="1881"/>
          </w:tcPr>
          <w:p>
            <w:r>
              <w:rPr>
                <w:rFonts w:ascii="Calibri" w:hAnsi="Calibri"/>
                <w:b/>
                <w:sz w:val="18"/>
              </w:rPr>
              <w:t>Total Investment</w:t>
            </w:r>
          </w:p>
        </w:tc>
        <w:tc>
          <w:tcPr>
            <w:tcW w:type="dxa" w:w="1881"/>
          </w:tcPr>
          <w:p>
            <w:pPr>
              <w:jc w:val="center"/>
            </w:pPr>
            <w:r>
              <w:rPr>
                <w:rFonts w:ascii="Calibri" w:hAnsi="Calibri"/>
                <w:b/>
                <w:sz w:val="18"/>
              </w:rPr>
              <w:t>₱203,840</w:t>
            </w:r>
          </w:p>
        </w:tc>
        <w:tc>
          <w:tcPr>
            <w:tcW w:type="dxa" w:w="1881"/>
          </w:tcPr>
          <w:p>
            <w:pPr>
              <w:jc w:val="center"/>
            </w:pPr>
            <w:r>
              <w:rPr>
                <w:rFonts w:ascii="Calibri" w:hAnsi="Calibri"/>
                <w:b/>
                <w:sz w:val="18"/>
              </w:rPr>
              <w:t>₱232,960</w:t>
            </w:r>
          </w:p>
        </w:tc>
        <w:tc>
          <w:tcPr>
            <w:tcW w:type="dxa" w:w="1881"/>
          </w:tcPr>
          <w:p>
            <w:pPr>
              <w:jc w:val="center"/>
            </w:pPr>
            <w:r>
              <w:rPr>
                <w:rFonts w:ascii="Calibri" w:hAnsi="Calibri"/>
                <w:b/>
                <w:sz w:val="18"/>
              </w:rPr>
              <w:t>₱426,720*</w:t>
            </w:r>
          </w:p>
        </w:tc>
        <w:tc>
          <w:tcPr>
            <w:tcW w:type="dxa" w:w="1881"/>
          </w:tcPr>
          <w:p>
            <w:pPr>
              <w:jc w:val="center"/>
            </w:pPr>
            <w:r>
              <w:rPr>
                <w:rFonts w:ascii="Calibri" w:hAnsi="Calibri"/>
                <w:b/>
                <w:sz w:val="18"/>
              </w:rPr>
              <w:t>₱174,720</w:t>
            </w:r>
          </w:p>
        </w:tc>
      </w:tr>
    </w:tbl>
    <w:p/>
    <w:p>
      <w:pPr>
        <w:spacing w:before="40" w:after="80"/>
      </w:pPr>
      <w:r>
        <w:rPr>
          <w:rFonts w:ascii="Calibri" w:hAnsi="Calibri"/>
          <w:b w:val="0"/>
          <w:i/>
          <w:sz w:val="21"/>
        </w:rPr>
        <w:t>* Option 3 excludes Symph travel costs (flights + accommodation for 2 trainers × up to 2 regional trips), billed separately at actual with receipts.</w:t>
      </w:r>
    </w:p>
    <w:p>
      <w:pPr>
        <w:spacing w:before="280" w:after="80"/>
      </w:pPr>
      <w:r>
        <w:rPr>
          <w:rFonts w:ascii="Calibri" w:hAnsi="Calibri"/>
          <w:b/>
          <w:color w:val="1A73E8"/>
          <w:sz w:val="32"/>
        </w:rPr>
        <w:t>07  Notes &amp; Assumptions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This proposal covers training delivery only — no catering or logistical costs are included.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Catering, venue, and participant travel are managed separately by PGA.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Option 3 includes Symph travel costs billed separately at actual with receipts.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Participant capacity for on-site Day 2 sessions is capped at 20 per session.</w:t>
      </w:r>
    </w:p>
    <w:p>
      <w:pPr>
        <w:pStyle w:val="ListBullet"/>
        <w:spacing w:before="20" w:after="40"/>
        <w:ind w:left="283"/>
      </w:pPr>
      <w:r>
        <w:rPr>
          <w:rFonts w:ascii="Calibri" w:hAnsi="Calibri"/>
          <w:sz w:val="21"/>
        </w:rPr>
        <w:t>All prices are in Philippine Pesos (₱) and are VAT-inclusive as shown.</w:t>
      </w:r>
    </w:p>
    <w:p>
      <w:pPr>
        <w:spacing w:before="280" w:after="80"/>
      </w:pPr>
      <w:r>
        <w:rPr>
          <w:rFonts w:ascii="Calibri" w:hAnsi="Calibri"/>
          <w:b/>
          <w:color w:val="1A73E8"/>
          <w:sz w:val="32"/>
        </w:rPr>
        <w:t>08  Payment Terms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F1F3F4"/>
          </w:tcPr>
          <w:p>
            <w:r>
              <w:rPr>
                <w:rFonts w:ascii="Calibri" w:hAnsi="Calibri"/>
                <w:b/>
                <w:sz w:val="20"/>
              </w:rPr>
              <w:t>Deposit (50%)</w:t>
            </w:r>
          </w:p>
        </w:tc>
        <w:tc>
          <w:tcPr>
            <w:tcW w:type="dxa" w:w="4703"/>
          </w:tcPr>
          <w:p>
            <w:r>
              <w:rPr>
                <w:rFonts w:ascii="Calibri" w:hAnsi="Calibri"/>
                <w:b w:val="0"/>
                <w:sz w:val="20"/>
              </w:rPr>
              <w:t>Upon agreement signing</w:t>
            </w:r>
          </w:p>
        </w:tc>
      </w:tr>
      <w:tr>
        <w:tc>
          <w:tcPr>
            <w:tcW w:type="dxa" w:w="4703"/>
            <w:shd w:val="clear" w:color="auto" w:fill="F1F3F4"/>
          </w:tcPr>
          <w:p>
            <w:r>
              <w:rPr>
                <w:rFonts w:ascii="Calibri" w:hAnsi="Calibri"/>
                <w:b/>
                <w:sz w:val="20"/>
              </w:rPr>
              <w:t>Balance (50%)</w:t>
            </w:r>
          </w:p>
        </w:tc>
        <w:tc>
          <w:tcPr>
            <w:tcW w:type="dxa" w:w="4703"/>
          </w:tcPr>
          <w:p>
            <w:r>
              <w:rPr>
                <w:rFonts w:ascii="Calibri" w:hAnsi="Calibri"/>
                <w:b w:val="0"/>
                <w:sz w:val="20"/>
              </w:rPr>
              <w:t>Due within 30 days of invoice</w:t>
            </w:r>
          </w:p>
        </w:tc>
      </w:tr>
      <w:tr>
        <w:tc>
          <w:tcPr>
            <w:tcW w:type="dxa" w:w="4703"/>
            <w:shd w:val="clear" w:color="auto" w:fill="F1F3F4"/>
          </w:tcPr>
          <w:p>
            <w:r>
              <w:rPr>
                <w:rFonts w:ascii="Calibri" w:hAnsi="Calibri"/>
                <w:b/>
                <w:sz w:val="20"/>
              </w:rPr>
              <w:t>Travel Costs (Option 3 only)</w:t>
            </w:r>
          </w:p>
        </w:tc>
        <w:tc>
          <w:tcPr>
            <w:tcW w:type="dxa" w:w="4703"/>
          </w:tcPr>
          <w:p>
            <w:r>
              <w:rPr>
                <w:rFonts w:ascii="Calibri" w:hAnsi="Calibri"/>
                <w:b w:val="0"/>
                <w:sz w:val="20"/>
              </w:rPr>
              <w:t>Billed at actual with receipts after each trip</w:t>
            </w:r>
          </w:p>
        </w:tc>
      </w:tr>
    </w:tbl>
    <w:p/>
    <w:p>
      <w:pPr>
        <w:spacing w:before="280" w:after="80"/>
      </w:pPr>
      <w:r>
        <w:rPr>
          <w:rFonts w:ascii="Calibri" w:hAnsi="Calibri"/>
          <w:b/>
          <w:color w:val="1A73E8"/>
          <w:sz w:val="32"/>
        </w:rPr>
        <w:t>09  Next Steps</w:t>
      </w:r>
    </w:p>
    <w:p>
      <w:pPr>
        <w:spacing w:before="40" w:after="80"/>
      </w:pPr>
      <w:r>
        <w:rPr>
          <w:rFonts w:ascii="Calibri" w:hAnsi="Calibri"/>
          <w:b w:val="0"/>
          <w:i w:val="0"/>
          <w:sz w:val="21"/>
        </w:rPr>
        <w:t>We look forward to partnering with PGA to unlock the full potential of your Google Workspace investment. To proceed, please confirm your preferred delivery option and we will schedule a kickoff call to begin Phase 1 coordination.</w:t>
      </w:r>
    </w:p>
    <w:p>
      <w:pPr>
        <w:spacing w:before="40" w:after="80"/>
      </w:pPr>
      <w:r>
        <w:rPr>
          <w:rFonts w:ascii="Calibri" w:hAnsi="Calibri"/>
          <w:b w:val="0"/>
          <w:i/>
          <w:sz w:val="21"/>
        </w:rPr>
        <w:t>For questions or clarifications, please reach out to your Symph account contact.</w:t>
      </w:r>
    </w:p>
    <w:p/>
    <w:p>
      <w:pPr>
        <w:jc w:val="center"/>
      </w:pPr>
      <w:r>
        <w:rPr>
          <w:rFonts w:ascii="Calibri" w:hAnsi="Calibri"/>
          <w:b w:val="0"/>
          <w:color w:val="787878"/>
          <w:sz w:val="20"/>
        </w:rPr>
        <w:t>Symph Inc.  ·  March 2026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